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B5" w:rsidRPr="00906BA9" w:rsidRDefault="00C64DB5" w:rsidP="00C64DB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06BA9">
        <w:rPr>
          <w:rFonts w:cstheme="minorHAnsi"/>
          <w:b/>
          <w:sz w:val="24"/>
          <w:szCs w:val="24"/>
        </w:rPr>
        <w:t>Fulcrum of Change: Leveraging 50 States to Turn Around 5,000 Schools</w:t>
      </w:r>
    </w:p>
    <w:p w:rsidR="00C64DB5" w:rsidRPr="004F712B" w:rsidRDefault="00C64DB5" w:rsidP="00C64DB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</w:rPr>
      </w:pPr>
      <w:r w:rsidRPr="004F712B">
        <w:rPr>
          <w:rFonts w:cstheme="minorHAnsi"/>
          <w:b/>
        </w:rPr>
        <w:t xml:space="preserve">Lauren </w:t>
      </w:r>
      <w:proofErr w:type="spellStart"/>
      <w:r w:rsidRPr="004F712B">
        <w:rPr>
          <w:rFonts w:cstheme="minorHAnsi"/>
          <w:b/>
        </w:rPr>
        <w:t>Morando</w:t>
      </w:r>
      <w:proofErr w:type="spellEnd"/>
      <w:r w:rsidRPr="004F712B">
        <w:rPr>
          <w:rFonts w:cstheme="minorHAnsi"/>
          <w:b/>
        </w:rPr>
        <w:t xml:space="preserve"> </w:t>
      </w:r>
      <w:proofErr w:type="spellStart"/>
      <w:r w:rsidRPr="004F712B">
        <w:rPr>
          <w:rFonts w:cstheme="minorHAnsi"/>
          <w:b/>
        </w:rPr>
        <w:t>Rhim</w:t>
      </w:r>
      <w:proofErr w:type="spellEnd"/>
      <w:r w:rsidRPr="004F712B">
        <w:rPr>
          <w:rFonts w:cstheme="minorHAnsi"/>
          <w:b/>
        </w:rPr>
        <w:t xml:space="preserve"> and Sam Redding</w:t>
      </w:r>
    </w:p>
    <w:p w:rsidR="004F712B" w:rsidRPr="004F712B" w:rsidRDefault="004F712B" w:rsidP="00C64DB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</w:rPr>
      </w:pPr>
      <w:r w:rsidRPr="004F712B">
        <w:rPr>
          <w:rFonts w:cstheme="minorHAnsi"/>
          <w:b/>
        </w:rPr>
        <w:t>Center on Innovation &amp; Improvement</w:t>
      </w:r>
    </w:p>
    <w:p w:rsidR="004F712B" w:rsidRDefault="009E5AA1" w:rsidP="00C64DB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</w:rPr>
      </w:pPr>
      <w:hyperlink r:id="rId8" w:history="1">
        <w:r w:rsidR="004F712B" w:rsidRPr="004F712B">
          <w:rPr>
            <w:rStyle w:val="Hyperlink"/>
            <w:rFonts w:cstheme="minorHAnsi"/>
            <w:b/>
          </w:rPr>
          <w:t>www.centerii.org</w:t>
        </w:r>
      </w:hyperlink>
    </w:p>
    <w:p w:rsidR="006D0C75" w:rsidRPr="004F712B" w:rsidRDefault="006D0C75" w:rsidP="00C64DB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See Download CII Publications</w:t>
      </w:r>
    </w:p>
    <w:p w:rsidR="00C64DB5" w:rsidRPr="004F712B" w:rsidRDefault="00C64DB5" w:rsidP="006C57B7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C57B7" w:rsidRPr="004F712B" w:rsidRDefault="006C57B7" w:rsidP="00C64D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School Year 2010-2011</w:t>
      </w:r>
    </w:p>
    <w:p w:rsidR="006C57B7" w:rsidRPr="004F712B" w:rsidRDefault="006C57B7" w:rsidP="00C64D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First Cohort of Revamped SIG Schools</w:t>
      </w:r>
    </w:p>
    <w:p w:rsidR="006C57B7" w:rsidRPr="004F712B" w:rsidRDefault="006C57B7" w:rsidP="00C64D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Nine States</w:t>
      </w:r>
      <w:r w:rsidR="004F712B" w:rsidRPr="004F712B">
        <w:rPr>
          <w:rFonts w:cstheme="minorHAnsi"/>
        </w:rPr>
        <w:t xml:space="preserve"> (SEAs)</w:t>
      </w:r>
    </w:p>
    <w:p w:rsidR="00C64DB5" w:rsidRPr="004F712B" w:rsidRDefault="00C64DB5" w:rsidP="00C64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Alaska</w:t>
      </w:r>
    </w:p>
    <w:p w:rsidR="00C64DB5" w:rsidRPr="004F712B" w:rsidRDefault="006C57B7" w:rsidP="00C64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Arkansas</w:t>
      </w:r>
    </w:p>
    <w:p w:rsidR="00C64DB5" w:rsidRPr="004F712B" w:rsidRDefault="00C64DB5" w:rsidP="00C64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Idaho</w:t>
      </w:r>
    </w:p>
    <w:p w:rsidR="00C64DB5" w:rsidRPr="004F712B" w:rsidRDefault="00C64DB5" w:rsidP="00C64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Illinois</w:t>
      </w:r>
    </w:p>
    <w:p w:rsidR="006C57B7" w:rsidRPr="004F712B" w:rsidRDefault="00C64DB5" w:rsidP="00C64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Louisiana</w:t>
      </w:r>
    </w:p>
    <w:p w:rsidR="00C64DB5" w:rsidRPr="004F712B" w:rsidRDefault="00C64DB5" w:rsidP="00C64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Michigan</w:t>
      </w:r>
    </w:p>
    <w:p w:rsidR="00C64DB5" w:rsidRPr="004F712B" w:rsidRDefault="00C64DB5" w:rsidP="00C64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Montana</w:t>
      </w:r>
    </w:p>
    <w:p w:rsidR="00C64DB5" w:rsidRPr="004F712B" w:rsidRDefault="00C64DB5" w:rsidP="00C64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Oklahoma</w:t>
      </w:r>
    </w:p>
    <w:p w:rsidR="006C57B7" w:rsidRPr="004F712B" w:rsidRDefault="006C57B7" w:rsidP="00C64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Virginia</w:t>
      </w:r>
    </w:p>
    <w:p w:rsidR="006C57B7" w:rsidRPr="004F712B" w:rsidRDefault="006C57B7" w:rsidP="006C57B7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C57B7" w:rsidRPr="004F712B" w:rsidRDefault="00C64DB5" w:rsidP="006C57B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4F712B">
        <w:rPr>
          <w:rFonts w:cstheme="minorHAnsi"/>
          <w:b/>
        </w:rPr>
        <w:t>Questions</w:t>
      </w:r>
    </w:p>
    <w:p w:rsidR="00C64DB5" w:rsidRPr="004F712B" w:rsidRDefault="00C64DB5" w:rsidP="006C57B7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C57B7" w:rsidRPr="004F712B" w:rsidRDefault="006C57B7" w:rsidP="006C57B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 xml:space="preserve">1) </w:t>
      </w:r>
      <w:r w:rsidR="00C64DB5" w:rsidRPr="004F712B">
        <w:rPr>
          <w:rFonts w:cstheme="minorHAnsi"/>
        </w:rPr>
        <w:t xml:space="preserve">How are states </w:t>
      </w:r>
      <w:r w:rsidRPr="004F712B">
        <w:rPr>
          <w:rFonts w:cstheme="minorHAnsi"/>
        </w:rPr>
        <w:t xml:space="preserve">integrating the expanded </w:t>
      </w:r>
      <w:r w:rsidR="00C64DB5" w:rsidRPr="004F712B">
        <w:rPr>
          <w:rFonts w:cstheme="minorHAnsi"/>
        </w:rPr>
        <w:t xml:space="preserve">SIG </w:t>
      </w:r>
      <w:r w:rsidRPr="004F712B">
        <w:rPr>
          <w:rFonts w:cstheme="minorHAnsi"/>
        </w:rPr>
        <w:t xml:space="preserve">program into existing </w:t>
      </w:r>
      <w:r w:rsidR="00C64DB5" w:rsidRPr="004F712B">
        <w:rPr>
          <w:rFonts w:cstheme="minorHAnsi"/>
        </w:rPr>
        <w:t>school improvement efforts?</w:t>
      </w:r>
    </w:p>
    <w:p w:rsidR="006C57B7" w:rsidRPr="004F712B" w:rsidRDefault="006C57B7" w:rsidP="006C57B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 xml:space="preserve">2) </w:t>
      </w:r>
      <w:r w:rsidR="00C64DB5" w:rsidRPr="004F712B">
        <w:rPr>
          <w:rFonts w:cstheme="minorHAnsi"/>
        </w:rPr>
        <w:t>What lessons are e</w:t>
      </w:r>
      <w:r w:rsidRPr="004F712B">
        <w:rPr>
          <w:rFonts w:cstheme="minorHAnsi"/>
        </w:rPr>
        <w:t>merging for states interested in fully leveraging their ro</w:t>
      </w:r>
      <w:r w:rsidR="00C64DB5" w:rsidRPr="004F712B">
        <w:rPr>
          <w:rFonts w:cstheme="minorHAnsi"/>
        </w:rPr>
        <w:t>les to drive turnaround efforts?</w:t>
      </w:r>
    </w:p>
    <w:p w:rsidR="00C64DB5" w:rsidRPr="004F712B" w:rsidRDefault="00C64DB5" w:rsidP="006C57B7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C57B7" w:rsidRDefault="006C57B7" w:rsidP="006C57B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</w:p>
    <w:p w:rsidR="006D0C75" w:rsidRDefault="006D0C75" w:rsidP="006C57B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</w:p>
    <w:p w:rsidR="006C57B7" w:rsidRPr="004F712B" w:rsidRDefault="006C57B7" w:rsidP="006C57B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4F712B">
        <w:rPr>
          <w:rFonts w:cstheme="minorHAnsi"/>
          <w:b/>
          <w:bCs/>
          <w:i/>
          <w:iCs/>
        </w:rPr>
        <w:t xml:space="preserve">Integrating the Expanded SIG Program </w:t>
      </w:r>
      <w:proofErr w:type="gramStart"/>
      <w:r w:rsidRPr="004F712B">
        <w:rPr>
          <w:rFonts w:cstheme="minorHAnsi"/>
          <w:b/>
          <w:bCs/>
          <w:i/>
          <w:iCs/>
        </w:rPr>
        <w:t>Into</w:t>
      </w:r>
      <w:proofErr w:type="gramEnd"/>
      <w:r w:rsidRPr="004F712B">
        <w:rPr>
          <w:rFonts w:cstheme="minorHAnsi"/>
          <w:b/>
          <w:bCs/>
          <w:i/>
          <w:iCs/>
        </w:rPr>
        <w:t xml:space="preserve"> Existing School Improvement Efforts</w:t>
      </w:r>
    </w:p>
    <w:p w:rsidR="006C57B7" w:rsidRPr="004F712B" w:rsidRDefault="006C57B7" w:rsidP="00C64D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</w:rPr>
      </w:pPr>
      <w:r w:rsidRPr="004F712B">
        <w:rPr>
          <w:rFonts w:cstheme="minorHAnsi"/>
        </w:rPr>
        <w:t>Evolving state systems of support are, to varying degrees, providing a coherent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structure to distribute technical assistance and support implementation of the SIG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program.</w:t>
      </w:r>
    </w:p>
    <w:p w:rsidR="00C64DB5" w:rsidRPr="004F712B" w:rsidRDefault="00C64DB5" w:rsidP="00C64DB5">
      <w:pPr>
        <w:autoSpaceDE w:val="0"/>
        <w:autoSpaceDN w:val="0"/>
        <w:adjustRightInd w:val="0"/>
        <w:spacing w:line="240" w:lineRule="auto"/>
        <w:ind w:left="720" w:hanging="360"/>
        <w:rPr>
          <w:rFonts w:cstheme="minorHAnsi"/>
        </w:rPr>
      </w:pPr>
    </w:p>
    <w:p w:rsidR="006C57B7" w:rsidRPr="004F712B" w:rsidRDefault="006C57B7" w:rsidP="00C64D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</w:rPr>
      </w:pPr>
      <w:r w:rsidRPr="004F712B">
        <w:rPr>
          <w:rFonts w:cstheme="minorHAnsi"/>
        </w:rPr>
        <w:t>State education agencies (SEA) are working to leverage SIG regulations and dollars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to drive district- and school-level dramatic change efforts.</w:t>
      </w:r>
    </w:p>
    <w:p w:rsidR="00C64DB5" w:rsidRPr="004F712B" w:rsidRDefault="00C64DB5" w:rsidP="00C64DB5">
      <w:pPr>
        <w:autoSpaceDE w:val="0"/>
        <w:autoSpaceDN w:val="0"/>
        <w:adjustRightInd w:val="0"/>
        <w:spacing w:line="240" w:lineRule="auto"/>
        <w:ind w:left="720" w:hanging="360"/>
        <w:rPr>
          <w:rFonts w:cstheme="minorHAnsi"/>
        </w:rPr>
      </w:pPr>
    </w:p>
    <w:p w:rsidR="006C57B7" w:rsidRPr="004F712B" w:rsidRDefault="006C57B7" w:rsidP="00C64D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</w:rPr>
      </w:pPr>
      <w:r w:rsidRPr="004F712B">
        <w:rPr>
          <w:rFonts w:cstheme="minorHAnsi"/>
        </w:rPr>
        <w:t>The rushed nature of the first round of SIGs hindered initial implementation efforts,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but SEAs are applying emerging lessons to subsequent rounds of SIGs.</w:t>
      </w:r>
    </w:p>
    <w:p w:rsidR="00C64DB5" w:rsidRPr="004F712B" w:rsidRDefault="00C64DB5" w:rsidP="00C64DB5">
      <w:pPr>
        <w:pStyle w:val="ListParagraph"/>
        <w:autoSpaceDE w:val="0"/>
        <w:autoSpaceDN w:val="0"/>
        <w:adjustRightInd w:val="0"/>
        <w:spacing w:line="240" w:lineRule="auto"/>
        <w:ind w:hanging="360"/>
        <w:rPr>
          <w:rFonts w:cstheme="minorHAnsi"/>
        </w:rPr>
      </w:pPr>
    </w:p>
    <w:p w:rsidR="006C57B7" w:rsidRPr="004F712B" w:rsidRDefault="006C57B7" w:rsidP="006C57B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4F712B">
        <w:rPr>
          <w:rFonts w:cstheme="minorHAnsi"/>
          <w:b/>
          <w:bCs/>
          <w:i/>
          <w:iCs/>
        </w:rPr>
        <w:t>Emerging Lessons for States</w:t>
      </w:r>
    </w:p>
    <w:p w:rsidR="006C57B7" w:rsidRPr="00B312E7" w:rsidRDefault="006C57B7" w:rsidP="006C57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B312E7">
        <w:rPr>
          <w:rFonts w:cstheme="minorHAnsi"/>
        </w:rPr>
        <w:t>Not all of the prescriptive reform models (e.g., turnaround, transformation, restart,</w:t>
      </w:r>
      <w:r w:rsidR="00C64DB5" w:rsidRPr="00B312E7">
        <w:rPr>
          <w:rFonts w:cstheme="minorHAnsi"/>
        </w:rPr>
        <w:t xml:space="preserve"> </w:t>
      </w:r>
      <w:r w:rsidRPr="00B312E7">
        <w:rPr>
          <w:rFonts w:cstheme="minorHAnsi"/>
        </w:rPr>
        <w:t>and closure) are feasible in all states and often lack the nuance that defines successful</w:t>
      </w:r>
      <w:r w:rsidR="00B312E7" w:rsidRPr="00B312E7">
        <w:rPr>
          <w:rFonts w:cstheme="minorHAnsi"/>
        </w:rPr>
        <w:t xml:space="preserve"> </w:t>
      </w:r>
      <w:r w:rsidRPr="00B312E7">
        <w:rPr>
          <w:rFonts w:cstheme="minorHAnsi"/>
        </w:rPr>
        <w:t>SEA approaches to developing systems of support based on individual district</w:t>
      </w:r>
      <w:r w:rsidR="00C64DB5" w:rsidRPr="00B312E7">
        <w:rPr>
          <w:rFonts w:cstheme="minorHAnsi"/>
        </w:rPr>
        <w:t xml:space="preserve"> </w:t>
      </w:r>
      <w:r w:rsidRPr="00B312E7">
        <w:rPr>
          <w:rFonts w:cstheme="minorHAnsi"/>
        </w:rPr>
        <w:t>and school context and need.</w:t>
      </w:r>
    </w:p>
    <w:p w:rsidR="006C57B7" w:rsidRPr="004F712B" w:rsidRDefault="006C57B7" w:rsidP="006C57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Building district capacity is central to building and supporting dramatic, transformational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school change efforts with the ultimate goal of improved instruction and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outcomes for students.</w:t>
      </w:r>
    </w:p>
    <w:p w:rsidR="006C57B7" w:rsidRDefault="006C57B7" w:rsidP="006C57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Improving a school board’s capacity may be a key leverage point, especially for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small and rural school districts where district capacity is low.</w:t>
      </w:r>
    </w:p>
    <w:p w:rsidR="00B312E7" w:rsidRPr="004F712B" w:rsidRDefault="00B312E7" w:rsidP="00B312E7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</w:rPr>
      </w:pPr>
      <w:bookmarkStart w:id="0" w:name="_GoBack"/>
      <w:bookmarkEnd w:id="0"/>
    </w:p>
    <w:p w:rsidR="00C64DB5" w:rsidRPr="004F712B" w:rsidRDefault="00C64DB5" w:rsidP="00C64DB5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C57B7" w:rsidRPr="004F712B" w:rsidRDefault="006C57B7" w:rsidP="006C57B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4F712B">
        <w:rPr>
          <w:rFonts w:cstheme="minorHAnsi"/>
          <w:b/>
          <w:bCs/>
          <w:i/>
          <w:iCs/>
        </w:rPr>
        <w:lastRenderedPageBreak/>
        <w:t>Early Indicators of Positive Change</w:t>
      </w:r>
    </w:p>
    <w:p w:rsidR="006C57B7" w:rsidRPr="004F712B" w:rsidRDefault="006C57B7" w:rsidP="006C57B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All nine SEAs have, to some degree, attempted to leverage their roles in distributing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SIG dollars to extend the impact of the dollars. The roles they are taking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are distinct to each state policy context and existing capacity, but there was clear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 xml:space="preserve">recognition of the </w:t>
      </w:r>
      <w:r w:rsidRPr="004F712B">
        <w:rPr>
          <w:rFonts w:cstheme="minorHAnsi"/>
          <w:i/>
          <w:iCs/>
        </w:rPr>
        <w:t xml:space="preserve">opportunity </w:t>
      </w:r>
      <w:r w:rsidRPr="004F712B">
        <w:rPr>
          <w:rFonts w:cstheme="minorHAnsi"/>
        </w:rPr>
        <w:t>embedded in the SIG process for the SEA to influence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district and school behavior as opposed to just being a conduit to disseminate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grant dollars.</w:t>
      </w:r>
    </w:p>
    <w:p w:rsidR="006C57B7" w:rsidRPr="004F712B" w:rsidRDefault="006C57B7" w:rsidP="006C57B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The SIG program is perceived to have introduced a sense of urgency that was not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present under previous reform paradigms.</w:t>
      </w:r>
    </w:p>
    <w:p w:rsidR="006C57B7" w:rsidRPr="004F712B" w:rsidRDefault="006C57B7" w:rsidP="006C57B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Initially educating districts and schools about the revised and expanded SIG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program, and subsequently supporting their applications and intervention implementation,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has required an increased level of communication—</w:t>
      </w:r>
      <w:r w:rsidR="00C64DB5" w:rsidRPr="004F712B">
        <w:rPr>
          <w:rFonts w:cstheme="minorHAnsi"/>
        </w:rPr>
        <w:t xml:space="preserve">communication </w:t>
      </w:r>
      <w:r w:rsidRPr="004F712B">
        <w:rPr>
          <w:rFonts w:cstheme="minorHAnsi"/>
        </w:rPr>
        <w:t>about procedures as well as more substantive issues—to cultivate buy-in of the SIG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reforms.</w:t>
      </w:r>
    </w:p>
    <w:p w:rsidR="006C57B7" w:rsidRPr="004F712B" w:rsidRDefault="006C57B7" w:rsidP="00C64D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Grant dollars are driving increased and intentional use of data to inform practice.</w:t>
      </w:r>
    </w:p>
    <w:p w:rsidR="006C57B7" w:rsidRPr="004F712B" w:rsidRDefault="006C57B7" w:rsidP="00C64D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The expectations for dramatic change and quantity of dollars have driven SEAs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and districts to engage new partners to access needed expertise.</w:t>
      </w:r>
    </w:p>
    <w:p w:rsidR="00F17175" w:rsidRPr="004F712B" w:rsidRDefault="006C57B7" w:rsidP="00C64D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F712B">
        <w:rPr>
          <w:rFonts w:cstheme="minorHAnsi"/>
        </w:rPr>
        <w:t>Emerging strategies for rural districts (e.g., extensive use of technology to deliver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technical assistance and school board coaches) have promise to accelerate change</w:t>
      </w:r>
      <w:r w:rsidR="00C64DB5" w:rsidRPr="004F712B">
        <w:rPr>
          <w:rFonts w:cstheme="minorHAnsi"/>
        </w:rPr>
        <w:t xml:space="preserve"> </w:t>
      </w:r>
      <w:r w:rsidRPr="004F712B">
        <w:rPr>
          <w:rFonts w:cstheme="minorHAnsi"/>
        </w:rPr>
        <w:t>in spite of unique challenges.</w:t>
      </w:r>
    </w:p>
    <w:sectPr w:rsidR="00F17175" w:rsidRPr="004F712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A1" w:rsidRDefault="009E5AA1" w:rsidP="004F712B">
      <w:pPr>
        <w:spacing w:line="240" w:lineRule="auto"/>
      </w:pPr>
      <w:r>
        <w:separator/>
      </w:r>
    </w:p>
  </w:endnote>
  <w:endnote w:type="continuationSeparator" w:id="0">
    <w:p w:rsidR="009E5AA1" w:rsidRDefault="009E5AA1" w:rsidP="004F7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9651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F712B" w:rsidRDefault="004F71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2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2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712B" w:rsidRDefault="004F7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A1" w:rsidRDefault="009E5AA1" w:rsidP="004F712B">
      <w:pPr>
        <w:spacing w:line="240" w:lineRule="auto"/>
      </w:pPr>
      <w:r>
        <w:separator/>
      </w:r>
    </w:p>
  </w:footnote>
  <w:footnote w:type="continuationSeparator" w:id="0">
    <w:p w:rsidR="009E5AA1" w:rsidRDefault="009E5AA1" w:rsidP="004F71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1C71"/>
    <w:multiLevelType w:val="hybridMultilevel"/>
    <w:tmpl w:val="5130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36AC"/>
    <w:multiLevelType w:val="hybridMultilevel"/>
    <w:tmpl w:val="1200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41A3C"/>
    <w:multiLevelType w:val="hybridMultilevel"/>
    <w:tmpl w:val="D278C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D6D0C"/>
    <w:multiLevelType w:val="hybridMultilevel"/>
    <w:tmpl w:val="80EA2666"/>
    <w:lvl w:ilvl="0" w:tplc="A2E84370">
      <w:numFmt w:val="bullet"/>
      <w:lvlText w:val="-"/>
      <w:lvlJc w:val="left"/>
      <w:pPr>
        <w:ind w:left="1080" w:hanging="360"/>
      </w:pPr>
      <w:rPr>
        <w:rFonts w:ascii="PalatinoLinotype-Roman" w:eastAsiaTheme="minorHAnsi" w:hAnsi="PalatinoLinotype-Roman" w:cs="PalatinoLinotype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B0D3B"/>
    <w:multiLevelType w:val="hybridMultilevel"/>
    <w:tmpl w:val="907449A6"/>
    <w:lvl w:ilvl="0" w:tplc="A2E84370">
      <w:numFmt w:val="bullet"/>
      <w:lvlText w:val="-"/>
      <w:lvlJc w:val="left"/>
      <w:pPr>
        <w:ind w:left="1080" w:hanging="360"/>
      </w:pPr>
      <w:rPr>
        <w:rFonts w:ascii="PalatinoLinotype-Roman" w:eastAsiaTheme="minorHAnsi" w:hAnsi="PalatinoLinotype-Roman" w:cs="PalatinoLinotype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B07E21"/>
    <w:multiLevelType w:val="hybridMultilevel"/>
    <w:tmpl w:val="55C6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B7"/>
    <w:rsid w:val="0022755F"/>
    <w:rsid w:val="004F712B"/>
    <w:rsid w:val="00594A6C"/>
    <w:rsid w:val="006C57B7"/>
    <w:rsid w:val="006D0C75"/>
    <w:rsid w:val="00906BA9"/>
    <w:rsid w:val="009E5AA1"/>
    <w:rsid w:val="00B312E7"/>
    <w:rsid w:val="00C415A0"/>
    <w:rsid w:val="00C64DB5"/>
    <w:rsid w:val="00CE4BE8"/>
    <w:rsid w:val="00F1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A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1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1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12B"/>
  </w:style>
  <w:style w:type="paragraph" w:styleId="Footer">
    <w:name w:val="footer"/>
    <w:basedOn w:val="Normal"/>
    <w:link w:val="FooterChar"/>
    <w:uiPriority w:val="99"/>
    <w:unhideWhenUsed/>
    <w:rsid w:val="004F71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A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1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1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12B"/>
  </w:style>
  <w:style w:type="paragraph" w:styleId="Footer">
    <w:name w:val="footer"/>
    <w:basedOn w:val="Normal"/>
    <w:link w:val="FooterChar"/>
    <w:uiPriority w:val="99"/>
    <w:unhideWhenUsed/>
    <w:rsid w:val="004F71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i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Development Institute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Redding</dc:creator>
  <cp:lastModifiedBy>Sam Redding</cp:lastModifiedBy>
  <cp:revision>4</cp:revision>
  <dcterms:created xsi:type="dcterms:W3CDTF">2012-02-09T15:15:00Z</dcterms:created>
  <dcterms:modified xsi:type="dcterms:W3CDTF">2012-02-09T16:44:00Z</dcterms:modified>
</cp:coreProperties>
</file>